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hanging="563"/>
        <w:jc w:val="right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6534468" cy="2276475"/>
            <wp:effectExtent b="0" l="0" r="0" t="0"/>
            <wp:docPr descr="1.png" id="1" name="image1.png"/>
            <a:graphic>
              <a:graphicData uri="http://schemas.openxmlformats.org/drawingml/2006/picture">
                <pic:pic>
                  <pic:nvPicPr>
                    <pic:cNvPr descr="1.png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534468" cy="22764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09"/>
        <w:jc w:val="center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09"/>
        <w:jc w:val="center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vertAlign w:val="baseline"/>
          <w:rtl w:val="0"/>
        </w:rPr>
        <w:t xml:space="preserve">1. Общие положения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09"/>
        <w:jc w:val="both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1.1. Порядок хранения  в архивах МКОУ СОШ №10 на бумажных и/или электронных носителях результатов освоения обучающимися образовательных программ  (далее – Порядок) является локальным актом МКОУ СОШ №10 города-курорта Железноводска  Ставропольского (далее –Казённое учреждение), регулирующим порядок хранения в архивах информации о результатах освоения учащимися образовательных программ на бумажных и/или электронных носителях. Порядок разработан  в соответствии с Федеральным законом от 29 декабря 2012 года № 273-ФЗ "Об образовании в Российской Федерации". Порядок принимается педагогическим советом, имеющим право вносить в него свои изменения и дополнения. Порядок утверждается директором Казённого учреждения. 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09"/>
        <w:jc w:val="both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1.2. Порядок хранения в архивах информации о результатах успеваемости, аттестации на бумажных и/или электронных носителях регламентируется следующими документами: 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09"/>
        <w:jc w:val="both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1. Письмом  Министерства образования и науки Российской Федерации от 15.02.2012 года «ААП-147\67 «Системы ведения журналов успеваемости обучающихся в электронном виде в ОУ РФ 2012г. - часть 1., Системы ведения журналов успеваемости обучающихся в электронном виде в ОУ РФ 2012г - часть 2» 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09"/>
        <w:jc w:val="both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2. Законом от 27.07 2006 года № 152-ФЗ «О персональных данных». 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09"/>
        <w:jc w:val="both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3.Законом от 27.07.2006 года № 149 - ФЗ «Об информации, информационных технологиях и защите информации». 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09"/>
        <w:jc w:val="both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4.Федеральным законом  от 19 декабря 2005 года № 160-ФЗ «О ратификации Конвенции Совета Европы о защите физических лиц при автоматизированной обработке персональных данных». 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09"/>
        <w:jc w:val="both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5.Конвенцией Совета Европы о защите физических лиц при автоматизированной обработке персональных данных. 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09"/>
        <w:jc w:val="center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vertAlign w:val="baseline"/>
          <w:rtl w:val="0"/>
        </w:rPr>
        <w:t xml:space="preserve">2. Осуществление индивидуального учета результатов освоения обучающимися образовательных программ.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09"/>
        <w:jc w:val="both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2.1. Индивидуальный учет результатов освоения учащимися основной образовательной программы среднего общего образования осуществляется на бумажных и/или электронных носителях. 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09"/>
        <w:jc w:val="both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2.2. К обязательным бумажным носителям индивидуального учета результатов освоения учащимися основной образовательной программы относятся классные журналы, личные дела учащихся, книги выдачи аттестатов, аттестаты об окончании  среднего общего образования. 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09"/>
        <w:jc w:val="both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2.3. В классных журналах отражается балльное текущее, промежуточное и итоговое (годовое) оценивание результатов освоения обучающимися основной образовательной программы. 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09"/>
        <w:jc w:val="both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2.4. Внесение исправлений в промежуточные и итоговые результаты по предметам в классном журнале оформляется в виде записи с указанием соответствующей отметки цифрой и прописью, подписи исправившего результат педагога, печати, предназначенной для документов Казённого учреждения. 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09"/>
        <w:jc w:val="both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2.5. В личном деле выставляются итоговые результаты обучающегося по предметам учебного плана соответствующей основной образовательной программы. Итоговые результаты обучающегося по каждому году обучения заверяются одной печатью, предназначенной для документов Казённого учреждения и подписью классного руководителя. 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09"/>
        <w:jc w:val="both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2.6. Личные дела учащихся хранятся в Казённом учреждении. При переводе обучающегося в другую образовательную организацию личное дело учащегося выдается его родителям (законным представителям) согласно заявлению на имя директора Казённого учреждения. 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09"/>
        <w:jc w:val="both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2.7. Результаты итогового оценивания обучающегося по предметам учебного плана по окончанию основной образовательной программы  среднего общего образования в  11 классе заносятся в книгу выдачи аттестатов за курс  среднего общего образования и выставляются в аттестат о соответствующем образовании. 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09"/>
        <w:jc w:val="both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2.8. Наряду с бумажным носителем индивидуального учета результатов освоения обучающимися основной образовательной программы может вестись в электронном журнале. 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09"/>
        <w:jc w:val="center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vertAlign w:val="baseline"/>
          <w:rtl w:val="0"/>
        </w:rPr>
        <w:t xml:space="preserve">3. Хранение в архивах бумажных и/или электронных носителей индивидуального учета результатов освоения учащимися основной образовательной программы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09"/>
        <w:jc w:val="both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3.1. Книги учета выдачи аттестатов об окончании среднего общего образования хранятся в Школе не менее 50 лет. 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09"/>
        <w:jc w:val="both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  <w:rtl w:val="0"/>
        </w:rPr>
        <w:t xml:space="preserve">3.2. Классные журналы хранятся 5 лет. После пятилетнего хранения из журнала изымаются страницы со сводными данными успеваемости и перевода учащихся данного класса. Сформированные дела за год хранятся не менее 25 лет. </w:t>
      </w:r>
    </w:p>
    <w:p w:rsidR="00000000" w:rsidDel="00000000" w:rsidP="00000000" w:rsidRDefault="00000000" w:rsidRPr="00000000" w14:paraId="00000016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09"/>
        <w:jc w:val="both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  <w:rtl w:val="0"/>
        </w:rPr>
        <w:t xml:space="preserve">3.3. Личные дела учащихся после завершения освоения ими основной образовательной программы среднего общего образования хранятся в Школе 3 года.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09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709"/>
        <w:jc w:val="both"/>
        <w:rPr>
          <w:rFonts w:ascii="Times New Roman" w:cs="Times New Roman" w:eastAsia="Times New Roman" w:hAnsi="Times New Roman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32" w:firstLine="709"/>
        <w:jc w:val="both"/>
        <w:rPr>
          <w:rFonts w:ascii="Times New Roman" w:cs="Times New Roman" w:eastAsia="Times New Roman" w:hAnsi="Times New Roman"/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/>
      <w:pgMar w:bottom="993" w:top="426" w:left="1418" w:right="849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-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