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09"/>
        <w:rPr>
          <w:b w:val="1"/>
          <w:color w:val="000000"/>
          <w:sz w:val="28"/>
          <w:szCs w:val="28"/>
        </w:rPr>
      </w:pPr>
      <w:r w:rsidDel="00000000" w:rsidR="00000000" w:rsidRPr="00000000">
        <w:rPr>
          <w:sz w:val="24"/>
          <w:szCs w:val="24"/>
          <w:rtl w:val="0"/>
        </w:rPr>
        <w:t xml:space="preserve">         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                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            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09"/>
        <w:rPr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                       </w:t>
      </w: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0115" cy="1498600"/>
            <wp:effectExtent b="0" l="0" r="0" t="0"/>
            <wp:docPr descr="апка.png" id="1" name="image1.png"/>
            <a:graphic>
              <a:graphicData uri="http://schemas.openxmlformats.org/drawingml/2006/picture">
                <pic:pic>
                  <pic:nvPicPr>
                    <pic:cNvPr descr="апка.png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0115" cy="149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09"/>
        <w:rPr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                          ПОЛОЖЕНИЕ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356"/>
        </w:tabs>
        <w:spacing w:line="274" w:lineRule="auto"/>
        <w:ind w:right="2400" w:firstLine="709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           о Совете МКОУ СОШ № 10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356"/>
        </w:tabs>
        <w:ind w:right="2" w:firstLine="709"/>
        <w:jc w:val="center"/>
        <w:rPr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города-курорта Железноводска Ставропольского края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Настоящее Положение  разработано в соответствии с: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Конституцией Российской Федерации;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Конвенцией о правах ребёнка, одобренной Генеральной Ассамблеей ООН 20.11.1989;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Федеральным законом Российской Федерации от 29 декабря 2012 г. N 273-ФЗ "Об образовании в Российской Федерации"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09"/>
        <w:jc w:val="both"/>
        <w:rPr>
          <w:sz w:val="24"/>
          <w:szCs w:val="24"/>
        </w:rPr>
      </w:pPr>
      <w:r w:rsidDel="00000000" w:rsidR="00000000" w:rsidRPr="00000000">
        <w:rPr>
          <w:sz w:val="28"/>
          <w:szCs w:val="28"/>
          <w:rtl w:val="0"/>
        </w:rPr>
        <w:t xml:space="preserve">Законом  Ставропольского края от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color w:val="000000"/>
          <w:sz w:val="24"/>
          <w:szCs w:val="24"/>
          <w:highlight w:val="white"/>
          <w:rtl w:val="0"/>
        </w:rPr>
        <w:t xml:space="preserve">30.07.2013 №72 КЗ </w:t>
      </w:r>
      <w:hyperlink r:id="rId7">
        <w:r w:rsidDel="00000000" w:rsidR="00000000" w:rsidRPr="00000000">
          <w:rPr>
            <w:rFonts w:ascii="Tahoma" w:cs="Tahoma" w:eastAsia="Tahoma" w:hAnsi="Tahoma"/>
            <w:color w:val="000000"/>
            <w:sz w:val="24"/>
            <w:szCs w:val="24"/>
            <w:highlight w:val="white"/>
            <w:u w:val="none"/>
            <w:rtl w:val="0"/>
          </w:rPr>
          <w:t xml:space="preserve">«Об образовании»</w:t>
        </w:r>
      </w:hyperlink>
      <w:r w:rsidDel="00000000" w:rsidR="00000000" w:rsidRPr="00000000">
        <w:rPr>
          <w:rFonts w:ascii="Tahoma" w:cs="Tahoma" w:eastAsia="Tahoma" w:hAnsi="Tahoma"/>
          <w:color w:val="000000"/>
          <w:sz w:val="24"/>
          <w:szCs w:val="24"/>
          <w:highlight w:val="white"/>
          <w:rtl w:val="0"/>
        </w:rPr>
        <w:t xml:space="preserve">. </w:t>
      </w:r>
      <w:r w:rsidDel="00000000" w:rsidR="00000000" w:rsidRPr="00000000">
        <w:rPr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09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Уставом муниципального казённого общеобразовательного учреждения средней общеобразовательной школы №10 города-курорта Железноводска Ставропольского края.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                        I. Общие положения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8931"/>
        </w:tabs>
        <w:ind w:left="0" w:right="2" w:firstLine="709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Совет</w:t>
      </w:r>
      <w:r w:rsidDel="00000000" w:rsidR="00000000" w:rsidRPr="00000000">
        <w:rPr>
          <w:sz w:val="28"/>
          <w:szCs w:val="28"/>
          <w:rtl w:val="0"/>
        </w:rPr>
        <w:t xml:space="preserve"> муниципального казённого общеобразовательного учреждения средней общеобразовательной школы №10 города-курорта Железноводска Ставропольского края (далее Совет Казённого учреждения)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является высшим органом самоуправления и действует в соответствии с Уставом  Казённого учреждения и настоящим Положением.</w:t>
      </w:r>
    </w:p>
    <w:p w:rsidR="00000000" w:rsidDel="00000000" w:rsidP="00000000" w:rsidRDefault="00000000" w:rsidRPr="00000000" w14:paraId="0000000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rtl w:val="0"/>
        </w:rPr>
        <w:t xml:space="preserve">      1.2.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rtl w:val="0"/>
        </w:rPr>
        <w:t xml:space="preserve">Совет Казённого учреждения представляет интересы всех участников образовательного процесса (обучающихся, педагогических работников и родителей (законных представителей)). Срок полномочий Совета Казённого учреждения – 2 учебных года.  Члены Совета Казённого учреждения  работают на безвозмездной основе.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09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09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2. Порядок формирования, состав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09"/>
        <w:jc w:val="center"/>
        <w:rPr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Совета Казённого учреждения и режим работы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rtl w:val="0"/>
        </w:rPr>
        <w:t xml:space="preserve">2.1.Члены Совета Казённого учреждения выбираются на конференции делегатов от родителей (законных представителей), обучающихся и педагогических работников. Делегаты от каждой группы участников образовательного процесса  выбираются  на  общих  собраниях  родителей (законных представителей), обучающихся и педагогических работников. Конференция делегатов выбирает из своего состава 11 членов Совета Казённого учреждения: 6 - от педагогических работников, 3 - от родителей (законных представителей), 2- от обучающихся, а также  определяет персональный состав его членов.</w:t>
      </w:r>
    </w:p>
    <w:p w:rsidR="00000000" w:rsidDel="00000000" w:rsidP="00000000" w:rsidRDefault="00000000" w:rsidRPr="00000000" w14:paraId="0000001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rtl w:val="0"/>
        </w:rPr>
        <w:t xml:space="preserve">     2.2. На первом заседании члены Совета Казённого учреждения избирают председателя Совета Казённого учреждения (срок полномочий – 2 учебных года, но не более 4 учебных лет, в случае переизбрания) и секретаря (срок полномочий– 2 учебных года, но не более 4 учебных лет, в случае переизбрания).</w:t>
      </w:r>
    </w:p>
    <w:p w:rsidR="00000000" w:rsidDel="00000000" w:rsidP="00000000" w:rsidRDefault="00000000" w:rsidRPr="00000000" w14:paraId="0000001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rtl w:val="0"/>
        </w:rPr>
        <w:t xml:space="preserve">     2.3. Заседания Совета Казённого учреждения созываются его председателем в соответствии с планом работы, но не реже одного раза в полугодие. Также заседания Совета Казённого учреждения могут созываться по требованию не менее половины членов Совета Казённого учреждения либо в случае досрочного выбытия члена Совета Казённого учреждения для проведения довыборов.  Любой член Совета Казённого учреждения может быть досрочно отозван решением собрания выбравшего его коллектива.</w:t>
      </w:r>
    </w:p>
    <w:p w:rsidR="00000000" w:rsidDel="00000000" w:rsidP="00000000" w:rsidRDefault="00000000" w:rsidRPr="00000000" w14:paraId="0000001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rtl w:val="0"/>
        </w:rPr>
        <w:t xml:space="preserve">     2.4. Заседания Совета Казённого учреждения являются открытыми (на них могут присутствовать представители всех групп участников образовательного процесса, т. е. обучающиеся, родители (законные представители), педагогические работники, представители Учредителя и органов самоуправления). На заседаниях Совета Казённого учреждения ведутся протоколы, подписываемые председателем Совета Казённого учреждения и секретарём.</w:t>
      </w:r>
    </w:p>
    <w:p w:rsidR="00000000" w:rsidDel="00000000" w:rsidP="00000000" w:rsidRDefault="00000000" w:rsidRPr="00000000" w14:paraId="0000001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rtl w:val="0"/>
        </w:rPr>
        <w:t xml:space="preserve">    2.5.Решения Совета Казённого учреждения, принятые в пределах его полномочий, являются обязательными для всех участников образовательного процесса и доводятся до сведения всех заинтересованных лиц. Руководитель Казённого учреждения вправе приостановить решение Совета Казённого учреждения только в том случае, если имеет место нарушение действующего законодательства. </w:t>
      </w:r>
    </w:p>
    <w:p w:rsidR="00000000" w:rsidDel="00000000" w:rsidP="00000000" w:rsidRDefault="00000000" w:rsidRPr="00000000" w14:paraId="0000001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rtl w:val="0"/>
        </w:rPr>
        <w:t xml:space="preserve">     2.6. Решения принимаются открытым голосованием простым большинством голосов и считаются правомочными, если на заседании Совета Казённого учреждения присутствовало не менее 2/3 состава, а за решение проголосовало более половины присутствовавших на заседании.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933"/>
        </w:tabs>
        <w:ind w:right="2" w:firstLine="709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3. Полномочия Совета Казённого учреждения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2" w:firstLine="709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3.1. Совет школы имеет следующие полномочия: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928" w:right="2" w:hanging="360"/>
        <w:rPr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принимать локальные нормативные акты, регламентирующие деятельность органов самоуправления Казённого учреждения в соответствии с настоящим положением;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ind w:left="0" w:firstLine="709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разрабатывать локальные акты Казённого учреждения, касающиеся образовательного процесса;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ind w:left="0" w:firstLine="709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разрабатывать правила поведения для обучающихся;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ind w:left="0" w:firstLine="709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разрабатывать требования к внешнему виду обучающихся;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ind w:firstLine="709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ind w:left="0" w:firstLine="709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вносить предложения о внесении изменений и дополнений в Устав Казённого учреждения;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ind w:left="0" w:firstLine="709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заслушивать ежегодные отчёты администрации  Казённого учреждения: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ind w:left="1069" w:firstLine="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 результатах самооценки деятельности Казённого учреждения за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учебный год;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ind w:left="1069" w:firstLine="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о поступлениях и расходах финансовых и материальных средств 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Казённого учреждения;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ind w:left="1069" w:firstLine="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по вопросам относящимся к полномочиям Совета;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ind w:left="0" w:right="480" w:firstLine="709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принимать, при необходимости, решения по другим вопросам жизни Казённого  учреждения, которые не относятся к компетенции Педагогического совета, Родительского комитета и общего собрания трудового коллектива.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933"/>
        </w:tabs>
        <w:ind w:firstLine="709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                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                  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09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                 4. Документация Совета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09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18"/>
        </w:tabs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      4.1.Заседания Совета оформляются протокольно. В протоколах фиксируется ход обсуждения вопросов, предложения и замечания членов Совета. Протокол подписывается Председателем и секретарём Совета.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18"/>
        </w:tabs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     4.2. Документация Совета постоянно хранится в делах учреждения и передаётся по акту. Документация Совета сдается в архив его секретарём в соответствии с установленным порядком.</w:t>
      </w:r>
    </w:p>
    <w:sectPr>
      <w:pgSz w:h="16834" w:w="11909"/>
      <w:pgMar w:bottom="1418" w:top="709" w:left="1701" w:right="85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ahom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928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368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3088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528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248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688" w:hanging="360"/>
      </w:pPr>
      <w:rPr>
        <w:rFonts w:ascii="Arial" w:cs="Arial" w:eastAsia="Arial" w:hAnsi="Arial"/>
      </w:rPr>
    </w:lvl>
  </w:abstractNum>
  <w:abstractNum w:abstractNumId="2">
    <w:lvl w:ilvl="0">
      <w:start w:val="1"/>
      <w:numFmt w:val="bullet"/>
      <w:lvlText w:val="●"/>
      <w:lvlJc w:val="left"/>
      <w:pPr>
        <w:ind w:left="928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Arial" w:cs="Arial" w:eastAsia="Arial" w:hAnsi="Arial"/>
      </w:rPr>
    </w:lvl>
  </w:abstractNum>
  <w:abstractNum w:abstractNumId="3"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://mich-schola30.narod.ru/72-kz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