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right="-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119820" cy="15367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820" cy="153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 New Roman" w:cs="Times New Roman" w:eastAsia="Times New Roman" w:hAnsi="Times New Roman"/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73737"/>
          <w:sz w:val="28"/>
          <w:szCs w:val="28"/>
          <w:rtl w:val="0"/>
        </w:rPr>
        <w:t xml:space="preserve">Порядок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1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73737"/>
          <w:sz w:val="28"/>
          <w:szCs w:val="28"/>
          <w:rtl w:val="0"/>
        </w:rPr>
        <w:t xml:space="preserve"> ознакомления обучающихся и родителей (законных представителей) с правоустанавливающими документами и регламентирующими организацию и осуществление образовательной деятельности в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73737"/>
          <w:sz w:val="28"/>
          <w:szCs w:val="28"/>
          <w:rtl w:val="0"/>
        </w:rPr>
        <w:t xml:space="preserve">МКОУ СОШ №10 города-курорта Железноводска.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993"/>
          <w:tab w:val="left" w:pos="1276"/>
        </w:tabs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Настоящий Порядок ознакомления с документами образовательной организации, в т. ч. поступающих в нее лиц (далее – Порядок), устанавливает правила ознакомления с документами МКОУ СОШ №10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 2. В соответствии с п. 18 ч.1 статьи 34 Федерального закона от 29.12.2012 №273-ФЗ «Об образовании в Российской Федерации» учащимся предоставляются академические права на ознакомление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со свидетельством о государственной регистрации;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 уставом;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 лицензией на осуществление образовательной деятельности;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со свидетельством о государственной аккредитации;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 учебной документацией;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другими документами, регламентирующими организацию и осуществление образовательной деятельности в образовательной организации.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3. В соответствии с п. 3 ч.3 статьи 44 Федерального закона от 29.12.2012 №273-ФЗ «Об образовании в Российской Федерации» родители (законные представители) несовершеннолетних учащихся имеют право знакомиться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 уставом организации, осуществляющей образовательную деятельность;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лицензией на осуществление образовательной деятельности;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со свидетельством о государственной аккредитации;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с учебно-программной документацией;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другими документами, регламентирующими организацию и осуществление образовательной деятельности.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 4. В соответствии с номенклатурой дел МКОУ СОШ№10 первые экземпляры документов, перечисленные в пунктах 2, 3 хранятся у директора школы, копии хранятся в канцелярии школы, также сканированные копии  размещены на официальном сайте школы.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 5. Сканированные копии правоустанавливающих документов, а также отдельных локальных нормативных актов, затрагивающих интересы учащихся, вывешиваются в помещении школы в общедоступном месте на информационных стендах.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6. Сканированные копии всех правоустанавливающих документов, локальные нормативные акты образовательной организации, учебно- программная документация и другие документы, регламентирующие организацию и осуществление образовательной деятельности размещаются на официальном сайте МКОУ СОШ №10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 7.Ознакомление с документами образовательной организации, перечисленными в пунктах 2, 3 настоящего Порядка, происходит при приёме граждан на обучение в МКОУ СОШ №10Факт ознакомления с документами образовательной организации родители (законные представители) несовершеннолетних учащихся и учащиеся после получения основного общего образования отражают в заявлении о приёме на обучение под подпись.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 8.При приёме на работу в образовательную организацию работодатель обязан ознакомить работника до подписания трудового договора со следующими локальными нормативными актами, непосредственно связанными с его трудовой деятельностью (ч. 3 ст. 68 ТК РФ):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должностная инструкция;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правила внутреннего трудового распорядка (ч. 3 ст. 68 ТК РФ);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коллективный договор;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положение об оплате труда (ст. 135 ТК РФ);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правила и инструкция по охране труда (ст. 212 ТК РФ);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правила хранения и использования персональных данных работников (ст. 87 ТК РФ);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color w:val="373737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иные локальные нормативные акты, непосредственно связанные с трудовой деятельностью принимаемого на работу.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Факт ознакомления работника, принимаемого в образовательную организацию на работу, с документами образовательной организации должен быть письменно подтверждён под подпись принимаемого на работу.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color w:val="373737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3737"/>
          <w:sz w:val="28"/>
          <w:szCs w:val="28"/>
          <w:rtl w:val="0"/>
        </w:rPr>
        <w:t xml:space="preserve"> 9. Факт ознакомления с документами образовательной организации участников образовательных отношений в период обучения или работы должен быть письменно подтверждён (отражён в журнале учета проведения воспитательных мероприятий, протоколах педагогических советов, родительских собраний и др.). 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418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before="100" w:line="240" w:lineRule="auto"/>
    </w:pPr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